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28" w:rsidRPr="005829C2" w:rsidRDefault="00922B28" w:rsidP="00922B28">
      <w:pPr>
        <w:widowControl w:val="0"/>
        <w:jc w:val="center"/>
        <w:rPr>
          <w:b/>
          <w:bCs/>
          <w:color w:val="D71600"/>
        </w:rPr>
      </w:pPr>
      <w:r>
        <w:rPr>
          <w:noProof/>
        </w:rPr>
        <w:drawing>
          <wp:anchor distT="0" distB="0" distL="114300" distR="114300" simplePos="0" relativeHeight="251659264" behindDoc="1" locked="0" layoutInCell="1" allowOverlap="1" wp14:anchorId="41F86BFC" wp14:editId="72536F32">
            <wp:simplePos x="0" y="0"/>
            <wp:positionH relativeFrom="column">
              <wp:posOffset>-66675</wp:posOffset>
            </wp:positionH>
            <wp:positionV relativeFrom="paragraph">
              <wp:posOffset>-269875</wp:posOffset>
            </wp:positionV>
            <wp:extent cx="1091565" cy="1091565"/>
            <wp:effectExtent l="0" t="0" r="0" b="0"/>
            <wp:wrapNone/>
            <wp:docPr id="3"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5"/>
                    <a:srcRect/>
                    <a:stretch>
                      <a:fillRect/>
                    </a:stretch>
                  </pic:blipFill>
                  <pic:spPr bwMode="auto">
                    <a:xfrm>
                      <a:off x="0" y="0"/>
                      <a:ext cx="1091565" cy="1091565"/>
                    </a:xfrm>
                    <a:prstGeom prst="rect">
                      <a:avLst/>
                    </a:prstGeom>
                    <a:noFill/>
                    <a:ln w="9525">
                      <a:noFill/>
                      <a:miter lim="800000"/>
                      <a:headEnd/>
                      <a:tailEnd/>
                    </a:ln>
                  </pic:spPr>
                </pic:pic>
              </a:graphicData>
            </a:graphic>
          </wp:anchor>
        </w:drawing>
      </w:r>
      <w:r w:rsidRPr="005829C2">
        <w:rPr>
          <w:b/>
          <w:bCs/>
          <w:color w:val="D71600"/>
        </w:rPr>
        <w:t>Republic of the Philippines</w:t>
      </w:r>
    </w:p>
    <w:p w:rsidR="00922B28" w:rsidRPr="005829C2" w:rsidRDefault="00922B28" w:rsidP="00922B28">
      <w:pPr>
        <w:widowControl w:val="0"/>
        <w:jc w:val="center"/>
        <w:rPr>
          <w:rFonts w:ascii="Georgia" w:hAnsi="Georgia"/>
          <w:b/>
          <w:bCs/>
          <w:color w:val="0000FF"/>
          <w:sz w:val="32"/>
          <w:szCs w:val="32"/>
        </w:rPr>
      </w:pPr>
      <w:proofErr w:type="spellStart"/>
      <w:r w:rsidRPr="005829C2">
        <w:rPr>
          <w:rFonts w:ascii="Georgia" w:hAnsi="Georgia"/>
          <w:b/>
          <w:bCs/>
          <w:color w:val="0000FF"/>
          <w:sz w:val="32"/>
          <w:szCs w:val="32"/>
        </w:rPr>
        <w:t>Kolambugan</w:t>
      </w:r>
      <w:proofErr w:type="spellEnd"/>
      <w:r w:rsidRPr="005829C2">
        <w:rPr>
          <w:rFonts w:ascii="Georgia" w:hAnsi="Georgia"/>
          <w:b/>
          <w:bCs/>
          <w:color w:val="0000FF"/>
          <w:sz w:val="32"/>
          <w:szCs w:val="32"/>
        </w:rPr>
        <w:t xml:space="preserve"> Water District</w:t>
      </w:r>
    </w:p>
    <w:p w:rsidR="00922B28" w:rsidRPr="005829C2" w:rsidRDefault="00922B28" w:rsidP="00922B28">
      <w:pPr>
        <w:widowControl w:val="0"/>
        <w:jc w:val="center"/>
        <w:rPr>
          <w:rFonts w:ascii="Arial" w:hAnsi="Arial" w:cs="Arial"/>
          <w:bCs/>
          <w:color w:val="FF0000"/>
          <w:sz w:val="18"/>
          <w:szCs w:val="18"/>
        </w:rPr>
      </w:pPr>
      <w:r w:rsidRPr="005829C2">
        <w:rPr>
          <w:rFonts w:ascii="Arial" w:hAnsi="Arial" w:cs="Arial"/>
          <w:bCs/>
          <w:color w:val="FF0000"/>
          <w:sz w:val="18"/>
          <w:szCs w:val="18"/>
        </w:rPr>
        <w:t>(GOVERNMENT OWNED &amp; CONTROLLED CORP.)</w:t>
      </w:r>
    </w:p>
    <w:p w:rsidR="00922B28" w:rsidRPr="005829C2" w:rsidRDefault="00922B28" w:rsidP="00922B28">
      <w:pPr>
        <w:widowControl w:val="0"/>
        <w:jc w:val="center"/>
        <w:rPr>
          <w:rFonts w:ascii="Arial" w:hAnsi="Arial" w:cs="Arial"/>
          <w:sz w:val="18"/>
          <w:szCs w:val="18"/>
        </w:rPr>
      </w:pPr>
      <w:proofErr w:type="spellStart"/>
      <w:r w:rsidRPr="005829C2">
        <w:rPr>
          <w:rFonts w:ascii="Arial" w:hAnsi="Arial" w:cs="Arial"/>
          <w:sz w:val="18"/>
          <w:szCs w:val="18"/>
        </w:rPr>
        <w:t>Kolambugan</w:t>
      </w:r>
      <w:proofErr w:type="spellEnd"/>
      <w:r w:rsidRPr="005829C2">
        <w:rPr>
          <w:rFonts w:ascii="Arial" w:hAnsi="Arial" w:cs="Arial"/>
          <w:sz w:val="18"/>
          <w:szCs w:val="18"/>
        </w:rPr>
        <w:t xml:space="preserve">, Lanao </w:t>
      </w:r>
      <w:proofErr w:type="gramStart"/>
      <w:r w:rsidRPr="005829C2">
        <w:rPr>
          <w:rFonts w:ascii="Arial" w:hAnsi="Arial" w:cs="Arial"/>
          <w:sz w:val="18"/>
          <w:szCs w:val="18"/>
        </w:rPr>
        <w:t>del</w:t>
      </w:r>
      <w:proofErr w:type="gramEnd"/>
      <w:r w:rsidRPr="005829C2">
        <w:rPr>
          <w:rFonts w:ascii="Arial" w:hAnsi="Arial" w:cs="Arial"/>
          <w:sz w:val="18"/>
          <w:szCs w:val="18"/>
        </w:rPr>
        <w:t xml:space="preserve"> Norte</w:t>
      </w:r>
    </w:p>
    <w:p w:rsidR="00922B28" w:rsidRPr="005829C2" w:rsidRDefault="00922B28" w:rsidP="00922B28">
      <w:pPr>
        <w:widowControl w:val="0"/>
        <w:pBdr>
          <w:bottom w:val="single" w:sz="12" w:space="1" w:color="auto"/>
        </w:pBdr>
        <w:jc w:val="center"/>
        <w:rPr>
          <w:rFonts w:ascii="Arial" w:hAnsi="Arial" w:cs="Arial"/>
          <w:sz w:val="18"/>
          <w:szCs w:val="18"/>
        </w:rPr>
      </w:pPr>
      <w:r w:rsidRPr="005829C2">
        <w:rPr>
          <w:rFonts w:ascii="Arial" w:hAnsi="Arial" w:cs="Arial"/>
          <w:sz w:val="18"/>
          <w:szCs w:val="18"/>
        </w:rPr>
        <w:t>TIN: 004-365-844 CCC No. 539</w:t>
      </w:r>
    </w:p>
    <w:p w:rsidR="00922B28" w:rsidRDefault="00922B28" w:rsidP="00922B28">
      <w:pPr>
        <w:widowControl w:val="0"/>
        <w:pBdr>
          <w:bottom w:val="single" w:sz="12" w:space="1" w:color="auto"/>
        </w:pBdr>
        <w:jc w:val="center"/>
        <w:rPr>
          <w:rFonts w:ascii="Arial Narrow" w:hAnsi="Arial Narrow"/>
          <w:sz w:val="18"/>
          <w:szCs w:val="18"/>
        </w:rPr>
      </w:pPr>
    </w:p>
    <w:p w:rsidR="00922B28" w:rsidRDefault="00922B28" w:rsidP="00F60B6F">
      <w:pPr>
        <w:pStyle w:val="NoSpacing"/>
        <w:jc w:val="center"/>
        <w:rPr>
          <w:rFonts w:ascii="Century Gothic" w:hAnsi="Century Gothic"/>
          <w:b/>
        </w:rPr>
      </w:pPr>
    </w:p>
    <w:p w:rsidR="00F60B6F" w:rsidRDefault="00F60B6F" w:rsidP="00F60B6F">
      <w:pPr>
        <w:pStyle w:val="NoSpacing"/>
        <w:jc w:val="both"/>
        <w:rPr>
          <w:rFonts w:ascii="Century Gothic" w:hAnsi="Century Gothic"/>
        </w:rPr>
      </w:pPr>
    </w:p>
    <w:p w:rsidR="00F60B6F" w:rsidRPr="00E514BC" w:rsidRDefault="00F60B6F" w:rsidP="00F60B6F">
      <w:pPr>
        <w:pStyle w:val="NoSpacing"/>
        <w:jc w:val="center"/>
        <w:rPr>
          <w:rFonts w:ascii="Century Gothic" w:hAnsi="Century Gothic"/>
          <w:b/>
          <w:sz w:val="20"/>
          <w:szCs w:val="20"/>
        </w:rPr>
      </w:pPr>
      <w:r w:rsidRPr="00E514BC">
        <w:rPr>
          <w:rFonts w:ascii="Century Gothic" w:hAnsi="Century Gothic"/>
          <w:b/>
          <w:sz w:val="20"/>
          <w:szCs w:val="20"/>
        </w:rPr>
        <w:t>GUIDELINES / MECHANICS IN RANKING OFFICES / DELIVERY UNITS</w:t>
      </w:r>
    </w:p>
    <w:p w:rsidR="00F60B6F" w:rsidRPr="00E514BC" w:rsidRDefault="00F60B6F" w:rsidP="00F60B6F">
      <w:pPr>
        <w:pStyle w:val="NoSpacing"/>
        <w:jc w:val="center"/>
        <w:rPr>
          <w:rFonts w:ascii="Century Gothic" w:hAnsi="Century Gothic"/>
          <w:sz w:val="20"/>
          <w:szCs w:val="20"/>
        </w:rPr>
      </w:pPr>
      <w:r w:rsidRPr="00E514BC">
        <w:rPr>
          <w:rFonts w:ascii="Century Gothic" w:hAnsi="Century Gothic"/>
          <w:b/>
          <w:sz w:val="20"/>
          <w:szCs w:val="20"/>
        </w:rPr>
        <w:t xml:space="preserve">FOR THE GRANT OF PERFORMANCE –BASED BONUS </w:t>
      </w:r>
      <w:r w:rsidR="002D18BF">
        <w:rPr>
          <w:rFonts w:ascii="Century Gothic" w:hAnsi="Century Gothic"/>
          <w:b/>
          <w:sz w:val="20"/>
          <w:szCs w:val="20"/>
        </w:rPr>
        <w:t>(PBB) FY 2019</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sz w:val="20"/>
          <w:szCs w:val="20"/>
        </w:rPr>
      </w:pPr>
      <w:r w:rsidRPr="00E514BC">
        <w:rPr>
          <w:rFonts w:ascii="Century Gothic" w:hAnsi="Century Gothic"/>
          <w:sz w:val="20"/>
          <w:szCs w:val="20"/>
        </w:rPr>
        <w:t>In view of the Memorandum Circular No. 2018-1 dated May 28, 2018, the Inter-Agency Task Force (IATF) on the Harmonization of National Government Performance Monitoring, Information and Reporting Systems Memorandum Circular No. 2018-1, under Executive Order No. 80, and Executive Order No. 201 s. 2016, please be informed that the following System of Ranking of Delivery Units for the Grant of Performance – Based Bonus for year 201</w:t>
      </w:r>
      <w:r w:rsidR="002D18BF">
        <w:rPr>
          <w:rFonts w:ascii="Century Gothic" w:hAnsi="Century Gothic"/>
          <w:sz w:val="20"/>
          <w:szCs w:val="20"/>
        </w:rPr>
        <w:t>9</w:t>
      </w:r>
      <w:r w:rsidRPr="00E514BC">
        <w:rPr>
          <w:rFonts w:ascii="Century Gothic" w:hAnsi="Century Gothic"/>
          <w:sz w:val="20"/>
          <w:szCs w:val="20"/>
        </w:rPr>
        <w:t xml:space="preserve"> is hereby adopted for implementation:</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b/>
          <w:sz w:val="20"/>
          <w:szCs w:val="20"/>
        </w:rPr>
      </w:pPr>
      <w:r w:rsidRPr="00E514BC">
        <w:rPr>
          <w:rFonts w:ascii="Century Gothic" w:hAnsi="Century Gothic"/>
          <w:b/>
          <w:sz w:val="20"/>
          <w:szCs w:val="20"/>
        </w:rPr>
        <w:t>Coverage</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sz w:val="20"/>
          <w:szCs w:val="20"/>
        </w:rPr>
      </w:pPr>
      <w:r w:rsidRPr="00E514BC">
        <w:rPr>
          <w:rFonts w:ascii="Century Gothic" w:hAnsi="Century Gothic"/>
          <w:sz w:val="20"/>
          <w:szCs w:val="20"/>
        </w:rPr>
        <w:t>The Performance-Based Bonus shall be granted to qualified permanent and casual employees of KOLWD.</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450"/>
        <w:jc w:val="both"/>
        <w:rPr>
          <w:rFonts w:ascii="Century Gothic" w:hAnsi="Century Gothic"/>
          <w:b/>
          <w:sz w:val="20"/>
          <w:szCs w:val="20"/>
        </w:rPr>
      </w:pPr>
      <w:r w:rsidRPr="00E514BC">
        <w:rPr>
          <w:rFonts w:ascii="Century Gothic" w:hAnsi="Century Gothic"/>
          <w:b/>
          <w:sz w:val="20"/>
          <w:szCs w:val="20"/>
        </w:rPr>
        <w:t>A) Ranking of Delivery Units</w:t>
      </w:r>
    </w:p>
    <w:p w:rsidR="00F60B6F" w:rsidRPr="00E514BC" w:rsidRDefault="00F60B6F"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1. “Delivery Units” as defined in the LWUA Memorandum Circular 015.16 refer to Offices or Group according to Category per Local Water District Manual on Categorization, </w:t>
      </w:r>
      <w:proofErr w:type="spellStart"/>
      <w:r w:rsidRPr="00E514BC">
        <w:rPr>
          <w:rFonts w:ascii="Century Gothic" w:hAnsi="Century Gothic"/>
          <w:sz w:val="20"/>
          <w:szCs w:val="20"/>
        </w:rPr>
        <w:t>Recategorization</w:t>
      </w:r>
      <w:proofErr w:type="spellEnd"/>
      <w:r w:rsidRPr="00E514BC">
        <w:rPr>
          <w:rFonts w:ascii="Century Gothic" w:hAnsi="Century Gothic"/>
          <w:sz w:val="20"/>
          <w:szCs w:val="20"/>
        </w:rPr>
        <w:t xml:space="preserve"> and Other Related Matters (LWD-</w:t>
      </w:r>
      <w:proofErr w:type="spellStart"/>
      <w:r w:rsidRPr="00E514BC">
        <w:rPr>
          <w:rFonts w:ascii="Century Gothic" w:hAnsi="Century Gothic"/>
          <w:sz w:val="20"/>
          <w:szCs w:val="20"/>
        </w:rPr>
        <w:t>MaCRO</w:t>
      </w:r>
      <w:proofErr w:type="spellEnd"/>
      <w:r w:rsidRPr="00E514BC">
        <w:rPr>
          <w:rFonts w:ascii="Century Gothic" w:hAnsi="Century Gothic"/>
          <w:sz w:val="20"/>
          <w:szCs w:val="20"/>
        </w:rPr>
        <w:t xml:space="preserve">). Hence, in view of the substantial functions of each Office/Group, coming as responsible units in achieving KOLWD’s MFOs, “delivery units” shall be referring to the OFFICE or GROUP, established and functional per Organizational Structure approved by DBM as per Personal Services Itemization and </w:t>
      </w:r>
      <w:proofErr w:type="spellStart"/>
      <w:r w:rsidRPr="00E514BC">
        <w:rPr>
          <w:rFonts w:ascii="Century Gothic" w:hAnsi="Century Gothic"/>
          <w:sz w:val="20"/>
          <w:szCs w:val="20"/>
        </w:rPr>
        <w:t>Plantilla</w:t>
      </w:r>
      <w:proofErr w:type="spellEnd"/>
      <w:r w:rsidRPr="00E514BC">
        <w:rPr>
          <w:rFonts w:ascii="Century Gothic" w:hAnsi="Century Gothic"/>
          <w:sz w:val="20"/>
          <w:szCs w:val="20"/>
        </w:rPr>
        <w:t xml:space="preserve"> of Personnel (PSIPOP) for the year 201</w:t>
      </w:r>
      <w:r w:rsidR="002D18BF">
        <w:rPr>
          <w:rFonts w:ascii="Century Gothic" w:hAnsi="Century Gothic"/>
          <w:sz w:val="20"/>
          <w:szCs w:val="20"/>
        </w:rPr>
        <w:t>9</w:t>
      </w:r>
      <w:r w:rsidRPr="00E514BC">
        <w:rPr>
          <w:rFonts w:ascii="Century Gothic" w:hAnsi="Century Gothic"/>
          <w:sz w:val="20"/>
          <w:szCs w:val="20"/>
        </w:rPr>
        <w:t>.</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Category D – LWD Organizational Structure per PSIPOP</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1440" w:firstLine="720"/>
        <w:jc w:val="both"/>
        <w:rPr>
          <w:rFonts w:ascii="Century Gothic" w:hAnsi="Century Gothic"/>
          <w:sz w:val="20"/>
          <w:szCs w:val="20"/>
        </w:rPr>
      </w:pPr>
      <w:r w:rsidRPr="00E514BC">
        <w:rPr>
          <w:rFonts w:ascii="Century Gothic" w:hAnsi="Century Gothic"/>
          <w:sz w:val="20"/>
          <w:szCs w:val="20"/>
        </w:rPr>
        <w:t>a. Office of the General Manager</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Administrative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Finance Service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Commercial Service Section</w:t>
      </w:r>
    </w:p>
    <w:p w:rsidR="00F60B6F" w:rsidRPr="00E514BC" w:rsidRDefault="00F60B6F" w:rsidP="00922B28">
      <w:pPr>
        <w:pStyle w:val="NoSpacing"/>
        <w:numPr>
          <w:ilvl w:val="0"/>
          <w:numId w:val="2"/>
        </w:numPr>
        <w:jc w:val="both"/>
        <w:rPr>
          <w:rFonts w:ascii="Century Gothic" w:hAnsi="Century Gothic"/>
          <w:sz w:val="20"/>
          <w:szCs w:val="20"/>
        </w:rPr>
      </w:pPr>
      <w:r w:rsidRPr="00E514BC">
        <w:rPr>
          <w:rFonts w:ascii="Century Gothic" w:hAnsi="Century Gothic"/>
          <w:sz w:val="20"/>
          <w:szCs w:val="20"/>
        </w:rPr>
        <w:t>Operations/Technical Section</w:t>
      </w:r>
    </w:p>
    <w:p w:rsidR="00F60B6F" w:rsidRPr="00E514BC" w:rsidRDefault="00F60B6F" w:rsidP="00F60B6F">
      <w:pPr>
        <w:pStyle w:val="NoSpacing"/>
        <w:ind w:left="288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2. To determine the ranking of Office/Group as “delivery units”, the average final performance rating of qualified employees for the period January to June 201</w:t>
      </w:r>
      <w:r w:rsidR="002D18BF">
        <w:rPr>
          <w:rFonts w:ascii="Century Gothic" w:hAnsi="Century Gothic"/>
          <w:sz w:val="20"/>
          <w:szCs w:val="20"/>
        </w:rPr>
        <w:t>9</w:t>
      </w:r>
      <w:r w:rsidRPr="00E514BC">
        <w:rPr>
          <w:rFonts w:ascii="Century Gothic" w:hAnsi="Century Gothic"/>
          <w:sz w:val="20"/>
          <w:szCs w:val="20"/>
        </w:rPr>
        <w:t xml:space="preserve"> and July to December 201</w:t>
      </w:r>
      <w:r w:rsidR="002D18BF">
        <w:rPr>
          <w:rFonts w:ascii="Century Gothic" w:hAnsi="Century Gothic"/>
          <w:sz w:val="20"/>
          <w:szCs w:val="20"/>
        </w:rPr>
        <w:t>9</w:t>
      </w:r>
      <w:r w:rsidRPr="00E514BC">
        <w:rPr>
          <w:rFonts w:ascii="Century Gothic" w:hAnsi="Century Gothic"/>
          <w:sz w:val="20"/>
          <w:szCs w:val="20"/>
        </w:rPr>
        <w:t xml:space="preserve"> will be computed.</w:t>
      </w:r>
    </w:p>
    <w:p w:rsidR="00F60B6F" w:rsidRPr="00E514BC" w:rsidRDefault="00F60B6F" w:rsidP="00F60B6F">
      <w:pPr>
        <w:pStyle w:val="NoSpacing"/>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E514BC" w:rsidRDefault="00E514BC" w:rsidP="00F60B6F">
      <w:pPr>
        <w:pStyle w:val="NoSpacing"/>
        <w:ind w:left="720" w:firstLine="72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lastRenderedPageBreak/>
        <w:t>3. Following the provisions of LWUA and IATF Memorandum Circulars, item 8.1 of MC No. 2018-1 (May 28, 2018) states that bureaus, offices or delivery units eligible to the PBB shall be forced ranked according to the following:</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tbl>
      <w:tblPr>
        <w:tblStyle w:val="TableGrid"/>
        <w:tblW w:w="0" w:type="auto"/>
        <w:tblInd w:w="2155" w:type="dxa"/>
        <w:tblLook w:val="04A0" w:firstRow="1" w:lastRow="0" w:firstColumn="1" w:lastColumn="0" w:noHBand="0" w:noVBand="1"/>
      </w:tblPr>
      <w:tblGrid>
        <w:gridCol w:w="2520"/>
        <w:gridCol w:w="3870"/>
      </w:tblGrid>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Ranking Performance</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Category</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Top 10%</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Best Bureau/Office/Delivery Unit</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Next 25%</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Better Bureau/Office/Delivery Unit</w:t>
            </w:r>
          </w:p>
        </w:tc>
      </w:tr>
      <w:tr w:rsidR="00F60B6F" w:rsidRPr="00E514BC" w:rsidTr="00F60B6F">
        <w:tc>
          <w:tcPr>
            <w:tcW w:w="252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Next 65%</w:t>
            </w:r>
          </w:p>
        </w:tc>
        <w:tc>
          <w:tcPr>
            <w:tcW w:w="3870" w:type="dxa"/>
          </w:tcPr>
          <w:p w:rsidR="00F60B6F" w:rsidRPr="00E514BC" w:rsidRDefault="00F60B6F" w:rsidP="00E514BC">
            <w:pPr>
              <w:pStyle w:val="NoSpacing"/>
              <w:jc w:val="center"/>
              <w:rPr>
                <w:rFonts w:ascii="Century Gothic" w:hAnsi="Century Gothic"/>
                <w:sz w:val="20"/>
                <w:szCs w:val="20"/>
              </w:rPr>
            </w:pPr>
            <w:r w:rsidRPr="00E514BC">
              <w:rPr>
                <w:rFonts w:ascii="Century Gothic" w:hAnsi="Century Gothic"/>
                <w:sz w:val="20"/>
                <w:szCs w:val="20"/>
              </w:rPr>
              <w:t>Good Bureau/Office/Delivery Unit</w:t>
            </w:r>
          </w:p>
        </w:tc>
      </w:tr>
    </w:tbl>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firstLine="720"/>
        <w:jc w:val="both"/>
        <w:rPr>
          <w:rFonts w:ascii="Century Gothic" w:hAnsi="Century Gothic"/>
          <w:b/>
          <w:sz w:val="20"/>
          <w:szCs w:val="20"/>
        </w:rPr>
      </w:pPr>
      <w:r w:rsidRPr="00E514BC">
        <w:rPr>
          <w:rFonts w:ascii="Century Gothic" w:hAnsi="Century Gothic"/>
          <w:b/>
          <w:sz w:val="20"/>
          <w:szCs w:val="20"/>
        </w:rPr>
        <w:t>B) Eligibility of Individual Employees</w:t>
      </w:r>
    </w:p>
    <w:p w:rsidR="00F60B6F" w:rsidRPr="00E514BC" w:rsidRDefault="00F60B6F" w:rsidP="00F60B6F">
      <w:pPr>
        <w:pStyle w:val="NoSpacing"/>
        <w:ind w:firstLine="720"/>
        <w:jc w:val="both"/>
        <w:rPr>
          <w:rFonts w:ascii="Century Gothic" w:hAnsi="Century Gothic"/>
          <w:b/>
          <w:sz w:val="20"/>
          <w:szCs w:val="20"/>
        </w:rPr>
      </w:pPr>
    </w:p>
    <w:p w:rsidR="00F60B6F" w:rsidRPr="00E514BC" w:rsidRDefault="00F60B6F" w:rsidP="00F60B6F">
      <w:pPr>
        <w:pStyle w:val="NoSpacing"/>
        <w:ind w:left="810" w:firstLine="630"/>
        <w:jc w:val="both"/>
        <w:rPr>
          <w:rFonts w:ascii="Century Gothic" w:hAnsi="Century Gothic"/>
          <w:sz w:val="20"/>
          <w:szCs w:val="20"/>
        </w:rPr>
      </w:pPr>
      <w:r w:rsidRPr="00E514BC">
        <w:rPr>
          <w:rFonts w:ascii="Century Gothic" w:hAnsi="Century Gothic"/>
          <w:sz w:val="20"/>
          <w:szCs w:val="20"/>
        </w:rPr>
        <w:t>1. Employees belonging to the First and Second Levels should receive at least “Satisfactory” based on the Agency’s CSC – Approved Strategic Performance Management System are eligible to receive the PBB. The final rating of each employee shall be confirmed by the Head of the Agency.</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2. The Head of the Agency is qualified to receive the highest incentive of the PBB.</w:t>
      </w:r>
    </w:p>
    <w:p w:rsidR="00F60B6F" w:rsidRPr="00E514BC" w:rsidRDefault="00F60B6F" w:rsidP="00F60B6F">
      <w:pPr>
        <w:pStyle w:val="NoSpacing"/>
        <w:ind w:left="720" w:firstLine="720"/>
        <w:jc w:val="both"/>
        <w:rPr>
          <w:rFonts w:ascii="Century Gothic" w:hAnsi="Century Gothic"/>
          <w:sz w:val="20"/>
          <w:szCs w:val="20"/>
        </w:rPr>
      </w:pPr>
    </w:p>
    <w:p w:rsidR="00F60B6F" w:rsidRPr="00E514BC" w:rsidRDefault="00F60B6F" w:rsidP="00F60B6F">
      <w:pPr>
        <w:pStyle w:val="NoSpacing"/>
        <w:ind w:left="720" w:firstLine="720"/>
        <w:jc w:val="both"/>
        <w:rPr>
          <w:rFonts w:ascii="Century Gothic" w:hAnsi="Century Gothic"/>
          <w:sz w:val="20"/>
          <w:szCs w:val="20"/>
        </w:rPr>
      </w:pPr>
      <w:r w:rsidRPr="00E514BC">
        <w:rPr>
          <w:rFonts w:ascii="Century Gothic" w:hAnsi="Century Gothic"/>
          <w:sz w:val="20"/>
          <w:szCs w:val="20"/>
        </w:rPr>
        <w:t>3. An employee or official who has rendered a minimum of nine (9) months of service in FY 201</w:t>
      </w:r>
      <w:r w:rsidR="002D18BF">
        <w:rPr>
          <w:rFonts w:ascii="Century Gothic" w:hAnsi="Century Gothic"/>
          <w:sz w:val="20"/>
          <w:szCs w:val="20"/>
        </w:rPr>
        <w:t>9</w:t>
      </w:r>
      <w:r w:rsidRPr="00E514BC">
        <w:rPr>
          <w:rFonts w:ascii="Century Gothic" w:hAnsi="Century Gothic"/>
          <w:sz w:val="20"/>
          <w:szCs w:val="20"/>
        </w:rPr>
        <w:t xml:space="preserve"> and with at least </w:t>
      </w:r>
      <w:proofErr w:type="gramStart"/>
      <w:r w:rsidRPr="00E514BC">
        <w:rPr>
          <w:rFonts w:ascii="Century Gothic" w:hAnsi="Century Gothic"/>
          <w:sz w:val="20"/>
          <w:szCs w:val="20"/>
        </w:rPr>
        <w:t>Satisfactory</w:t>
      </w:r>
      <w:proofErr w:type="gramEnd"/>
      <w:r w:rsidRPr="00E514BC">
        <w:rPr>
          <w:rFonts w:ascii="Century Gothic" w:hAnsi="Century Gothic"/>
          <w:sz w:val="20"/>
          <w:szCs w:val="20"/>
        </w:rPr>
        <w:t xml:space="preserve"> rating may be eligible to the full grant of PBB</w:t>
      </w:r>
    </w:p>
    <w:p w:rsidR="00F60B6F" w:rsidRPr="00E514BC" w:rsidRDefault="00F60B6F" w:rsidP="00F60B6F">
      <w:pPr>
        <w:pStyle w:val="NoSpacing"/>
        <w:ind w:left="1440"/>
        <w:jc w:val="both"/>
        <w:rPr>
          <w:rFonts w:ascii="Century Gothic" w:hAnsi="Century Gothic"/>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 xml:space="preserve">4. An employee who rendered less than nine (9) months but minimum of three (3) months but with at least </w:t>
      </w:r>
      <w:proofErr w:type="gramStart"/>
      <w:r w:rsidRPr="00E514BC">
        <w:rPr>
          <w:rFonts w:ascii="Century Gothic" w:hAnsi="Century Gothic"/>
          <w:sz w:val="20"/>
          <w:szCs w:val="20"/>
        </w:rPr>
        <w:t>Satisfactory</w:t>
      </w:r>
      <w:proofErr w:type="gramEnd"/>
      <w:r w:rsidRPr="00E514BC">
        <w:rPr>
          <w:rFonts w:ascii="Century Gothic" w:hAnsi="Century Gothic"/>
          <w:sz w:val="20"/>
          <w:szCs w:val="20"/>
        </w:rPr>
        <w:t xml:space="preserve"> performance rating shall be eligible to the grant of PBB on a pro-rated basis, corresponding to the actual length of service rendered, as follows:</w:t>
      </w:r>
    </w:p>
    <w:p w:rsidR="00F60B6F" w:rsidRPr="00E514BC" w:rsidRDefault="00F60B6F" w:rsidP="00F60B6F">
      <w:pPr>
        <w:pStyle w:val="NoSpacing"/>
        <w:jc w:val="both"/>
        <w:rPr>
          <w:rFonts w:ascii="Century Gothic" w:hAnsi="Century Gothic"/>
          <w:sz w:val="20"/>
          <w:szCs w:val="20"/>
        </w:rPr>
      </w:pPr>
    </w:p>
    <w:p w:rsidR="00F60B6F" w:rsidRPr="00E514BC" w:rsidRDefault="00F60B6F" w:rsidP="00F60B6F">
      <w:pPr>
        <w:pStyle w:val="NoSpacing"/>
        <w:jc w:val="both"/>
        <w:rPr>
          <w:rFonts w:ascii="Century Gothic" w:hAnsi="Century Gothic"/>
          <w:sz w:val="20"/>
          <w:szCs w:val="20"/>
        </w:rPr>
      </w:pPr>
    </w:p>
    <w:tbl>
      <w:tblPr>
        <w:tblStyle w:val="TableGrid"/>
        <w:tblW w:w="0" w:type="auto"/>
        <w:tblInd w:w="1795" w:type="dxa"/>
        <w:tblLook w:val="04A0" w:firstRow="1" w:lastRow="0" w:firstColumn="1" w:lastColumn="0" w:noHBand="0" w:noVBand="1"/>
      </w:tblPr>
      <w:tblGrid>
        <w:gridCol w:w="4590"/>
        <w:gridCol w:w="1350"/>
      </w:tblGrid>
      <w:tr w:rsidR="00F60B6F" w:rsidRPr="00E514BC" w:rsidTr="00922B28">
        <w:tc>
          <w:tcPr>
            <w:tcW w:w="4590" w:type="dxa"/>
          </w:tcPr>
          <w:p w:rsidR="00F60B6F" w:rsidRPr="00E514BC" w:rsidRDefault="00F60B6F" w:rsidP="00922B28">
            <w:pPr>
              <w:pStyle w:val="NoSpacing"/>
              <w:jc w:val="center"/>
              <w:rPr>
                <w:rFonts w:ascii="Century Gothic" w:hAnsi="Century Gothic"/>
                <w:sz w:val="20"/>
                <w:szCs w:val="20"/>
              </w:rPr>
            </w:pPr>
            <w:r w:rsidRPr="00E514BC">
              <w:rPr>
                <w:rFonts w:ascii="Century Gothic" w:hAnsi="Century Gothic"/>
                <w:sz w:val="20"/>
                <w:szCs w:val="20"/>
              </w:rPr>
              <w:t>Length of Service</w:t>
            </w:r>
          </w:p>
        </w:tc>
        <w:tc>
          <w:tcPr>
            <w:tcW w:w="1350" w:type="dxa"/>
          </w:tcPr>
          <w:p w:rsidR="00F60B6F" w:rsidRPr="00E514BC" w:rsidRDefault="00F60B6F" w:rsidP="00F60B6F">
            <w:pPr>
              <w:pStyle w:val="NoSpacing"/>
              <w:jc w:val="both"/>
              <w:rPr>
                <w:rFonts w:ascii="Century Gothic" w:hAnsi="Century Gothic"/>
                <w:sz w:val="20"/>
                <w:szCs w:val="20"/>
              </w:rPr>
            </w:pPr>
            <w:r w:rsidRPr="00E514BC">
              <w:rPr>
                <w:rFonts w:ascii="Century Gothic" w:hAnsi="Century Gothic"/>
                <w:sz w:val="20"/>
                <w:szCs w:val="20"/>
              </w:rPr>
              <w:t>% of PBB</w:t>
            </w:r>
          </w:p>
          <w:p w:rsidR="00F60B6F" w:rsidRPr="00E514BC" w:rsidRDefault="00F60B6F" w:rsidP="00F60B6F">
            <w:pPr>
              <w:pStyle w:val="NoSpacing"/>
              <w:jc w:val="both"/>
              <w:rPr>
                <w:rFonts w:ascii="Century Gothic" w:hAnsi="Century Gothic"/>
                <w:sz w:val="20"/>
                <w:szCs w:val="20"/>
              </w:rPr>
            </w:pPr>
          </w:p>
        </w:tc>
      </w:tr>
      <w:tr w:rsidR="00F60B6F" w:rsidRPr="00E514BC" w:rsidTr="00922B28">
        <w:tc>
          <w:tcPr>
            <w:tcW w:w="45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8 months but less than 9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7 months but less than 8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 months but less than 7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 months but less than 6 months</w:t>
            </w:r>
          </w:p>
          <w:p w:rsidR="00F60B6F"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4 months but less than 5 months</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3 months but less than 4 months</w:t>
            </w:r>
          </w:p>
        </w:tc>
        <w:tc>
          <w:tcPr>
            <w:tcW w:w="1350" w:type="dxa"/>
          </w:tcPr>
          <w:p w:rsidR="00F60B6F"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90%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80%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70%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50%</w:t>
            </w:r>
          </w:p>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40%</w:t>
            </w:r>
          </w:p>
        </w:tc>
      </w:tr>
    </w:tbl>
    <w:p w:rsidR="00F60B6F" w:rsidRPr="00E514BC" w:rsidRDefault="00F60B6F"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The following are the valid reasons for an employee who may not meet the nine-month actual service requirement to be considered for PBB on a pro-rated basis:</w:t>
      </w:r>
    </w:p>
    <w:p w:rsidR="00922B28" w:rsidRPr="00E514BC" w:rsidRDefault="00922B28" w:rsidP="00922B28">
      <w:pPr>
        <w:pStyle w:val="NoSpacing"/>
        <w:ind w:left="720" w:firstLine="720"/>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a) Being a newly hired employee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b) Retirement</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c) Resignation</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d) Rehabilitation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e) Maternity Leave and / or Paternity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f) Vacation or Sick Leave with or without pay</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g) Scholarship / Study Leave</w:t>
      </w: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h) Sabbatical Leave</w:t>
      </w:r>
    </w:p>
    <w:p w:rsidR="00922B28" w:rsidRPr="00E514BC" w:rsidRDefault="00922B28" w:rsidP="00922B28">
      <w:pPr>
        <w:pStyle w:val="NoSpacing"/>
        <w:ind w:firstLine="720"/>
        <w:jc w:val="both"/>
        <w:rPr>
          <w:rFonts w:ascii="Century Gothic" w:hAnsi="Century Gothic"/>
          <w:b/>
          <w:sz w:val="20"/>
          <w:szCs w:val="20"/>
        </w:rPr>
      </w:pPr>
    </w:p>
    <w:p w:rsidR="00E514BC" w:rsidRDefault="00E514BC" w:rsidP="00922B28">
      <w:pPr>
        <w:pStyle w:val="NoSpacing"/>
        <w:ind w:firstLine="720"/>
        <w:jc w:val="both"/>
        <w:rPr>
          <w:rFonts w:ascii="Century Gothic" w:hAnsi="Century Gothic"/>
          <w:b/>
          <w:sz w:val="20"/>
          <w:szCs w:val="20"/>
        </w:rPr>
      </w:pPr>
    </w:p>
    <w:p w:rsidR="00F60B6F" w:rsidRPr="00E514BC" w:rsidRDefault="00F60B6F" w:rsidP="00922B28">
      <w:pPr>
        <w:pStyle w:val="NoSpacing"/>
        <w:ind w:firstLine="720"/>
        <w:jc w:val="both"/>
        <w:rPr>
          <w:rFonts w:ascii="Century Gothic" w:hAnsi="Century Gothic"/>
          <w:b/>
          <w:sz w:val="20"/>
          <w:szCs w:val="20"/>
        </w:rPr>
      </w:pPr>
      <w:r w:rsidRPr="00E514BC">
        <w:rPr>
          <w:rFonts w:ascii="Century Gothic" w:hAnsi="Century Gothic"/>
          <w:b/>
          <w:sz w:val="20"/>
          <w:szCs w:val="20"/>
        </w:rPr>
        <w:lastRenderedPageBreak/>
        <w:t>C) Employees who are Not Entitled to Receive PBB</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720" w:firstLine="720"/>
        <w:jc w:val="both"/>
        <w:rPr>
          <w:rFonts w:ascii="Century Gothic" w:hAnsi="Century Gothic"/>
          <w:sz w:val="20"/>
          <w:szCs w:val="20"/>
        </w:rPr>
      </w:pPr>
      <w:r w:rsidRPr="00E514BC">
        <w:rPr>
          <w:rFonts w:ascii="Century Gothic" w:hAnsi="Century Gothic"/>
          <w:sz w:val="20"/>
          <w:szCs w:val="20"/>
        </w:rPr>
        <w:t>The following are excluded from the grant of PBB:</w:t>
      </w:r>
    </w:p>
    <w:p w:rsidR="00922B28" w:rsidRPr="00E514BC" w:rsidRDefault="00922B28" w:rsidP="00922B28">
      <w:pPr>
        <w:pStyle w:val="NoSpacing"/>
        <w:ind w:left="720" w:firstLine="720"/>
        <w:jc w:val="both"/>
        <w:rPr>
          <w:rFonts w:ascii="Century Gothic" w:hAnsi="Century Gothic"/>
          <w:sz w:val="20"/>
          <w:szCs w:val="20"/>
        </w:rPr>
      </w:pPr>
    </w:p>
    <w:p w:rsidR="00F60B6F" w:rsidRPr="00E514BC" w:rsidRDefault="00F60B6F" w:rsidP="00922B28">
      <w:pPr>
        <w:pStyle w:val="NoSpacing"/>
        <w:numPr>
          <w:ilvl w:val="0"/>
          <w:numId w:val="1"/>
        </w:numPr>
        <w:ind w:left="990" w:firstLine="450"/>
        <w:jc w:val="both"/>
        <w:rPr>
          <w:rFonts w:ascii="Century Gothic" w:hAnsi="Century Gothic"/>
          <w:sz w:val="20"/>
          <w:szCs w:val="20"/>
        </w:rPr>
      </w:pPr>
      <w:r w:rsidRPr="00E514BC">
        <w:rPr>
          <w:rFonts w:ascii="Century Gothic" w:hAnsi="Century Gothic"/>
          <w:sz w:val="20"/>
          <w:szCs w:val="20"/>
        </w:rPr>
        <w:t>An employee who is on vacation or sick leave with or without pay for the entire year is not eligible to the grant of PBB.</w:t>
      </w:r>
    </w:p>
    <w:p w:rsidR="00922B28" w:rsidRPr="00E514BC" w:rsidRDefault="00922B28" w:rsidP="00922B28">
      <w:pPr>
        <w:pStyle w:val="NoSpacing"/>
        <w:ind w:left="1080"/>
        <w:jc w:val="both"/>
        <w:rPr>
          <w:rFonts w:ascii="Century Gothic" w:hAnsi="Century Gothic"/>
          <w:sz w:val="20"/>
          <w:szCs w:val="20"/>
        </w:rPr>
      </w:pPr>
    </w:p>
    <w:p w:rsidR="00F60B6F" w:rsidRPr="00E514BC" w:rsidRDefault="00F60B6F" w:rsidP="00922B28">
      <w:pPr>
        <w:pStyle w:val="NoSpacing"/>
        <w:ind w:left="1080" w:firstLine="360"/>
        <w:jc w:val="both"/>
        <w:rPr>
          <w:rFonts w:ascii="Century Gothic" w:hAnsi="Century Gothic"/>
          <w:sz w:val="20"/>
          <w:szCs w:val="20"/>
        </w:rPr>
      </w:pPr>
      <w:r w:rsidRPr="00E514BC">
        <w:rPr>
          <w:rFonts w:ascii="Century Gothic" w:hAnsi="Century Gothic"/>
          <w:sz w:val="20"/>
          <w:szCs w:val="20"/>
        </w:rPr>
        <w:t>2. Employees who failed to submi</w:t>
      </w:r>
      <w:r w:rsidR="00922B28" w:rsidRPr="00E514BC">
        <w:rPr>
          <w:rFonts w:ascii="Century Gothic" w:hAnsi="Century Gothic"/>
          <w:sz w:val="20"/>
          <w:szCs w:val="20"/>
        </w:rPr>
        <w:t>t their complete SPMS forms and</w:t>
      </w:r>
      <w:r w:rsidR="00E514BC">
        <w:rPr>
          <w:rFonts w:ascii="Century Gothic" w:hAnsi="Century Gothic"/>
          <w:sz w:val="20"/>
          <w:szCs w:val="20"/>
        </w:rPr>
        <w:t xml:space="preserve"> </w:t>
      </w:r>
      <w:r w:rsidRPr="00E514BC">
        <w:rPr>
          <w:rFonts w:ascii="Century Gothic" w:hAnsi="Century Gothic"/>
          <w:sz w:val="20"/>
          <w:szCs w:val="20"/>
        </w:rPr>
        <w:t>employees who have not rendered at least three (3) months of service in year 201</w:t>
      </w:r>
      <w:r w:rsidR="002D18BF">
        <w:rPr>
          <w:rFonts w:ascii="Century Gothic" w:hAnsi="Century Gothic"/>
          <w:sz w:val="20"/>
          <w:szCs w:val="20"/>
        </w:rPr>
        <w:t>9</w:t>
      </w:r>
      <w:r w:rsidRPr="00E514BC">
        <w:rPr>
          <w:rFonts w:ascii="Century Gothic" w:hAnsi="Century Gothic"/>
          <w:sz w:val="20"/>
          <w:szCs w:val="20"/>
        </w:rPr>
        <w:t>.</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tabs>
          <w:tab w:val="left" w:pos="1080"/>
        </w:tabs>
        <w:ind w:left="990" w:firstLine="450"/>
        <w:jc w:val="both"/>
        <w:rPr>
          <w:rFonts w:ascii="Century Gothic" w:hAnsi="Century Gothic"/>
          <w:sz w:val="20"/>
          <w:szCs w:val="20"/>
        </w:rPr>
      </w:pPr>
      <w:r w:rsidRPr="00E514BC">
        <w:rPr>
          <w:rFonts w:ascii="Century Gothic" w:hAnsi="Century Gothic"/>
          <w:sz w:val="20"/>
          <w:szCs w:val="20"/>
        </w:rPr>
        <w:t xml:space="preserve">3. </w:t>
      </w:r>
      <w:r w:rsidR="00922B28" w:rsidRPr="00E514BC">
        <w:rPr>
          <w:rFonts w:ascii="Century Gothic" w:hAnsi="Century Gothic"/>
          <w:sz w:val="20"/>
          <w:szCs w:val="20"/>
        </w:rPr>
        <w:tab/>
      </w:r>
      <w:r w:rsidRPr="00E514BC">
        <w:rPr>
          <w:rFonts w:ascii="Century Gothic" w:hAnsi="Century Gothic"/>
          <w:sz w:val="20"/>
          <w:szCs w:val="20"/>
        </w:rPr>
        <w:t>For employees who are found guilty of any administrative charges and/or criminal charges related to their work for year 201</w:t>
      </w:r>
      <w:r w:rsidR="002D18BF">
        <w:rPr>
          <w:rFonts w:ascii="Century Gothic" w:hAnsi="Century Gothic"/>
          <w:sz w:val="20"/>
          <w:szCs w:val="20"/>
        </w:rPr>
        <w:t>9</w:t>
      </w:r>
      <w:r w:rsidRPr="00E514BC">
        <w:rPr>
          <w:rFonts w:ascii="Century Gothic" w:hAnsi="Century Gothic"/>
          <w:sz w:val="20"/>
          <w:szCs w:val="20"/>
        </w:rPr>
        <w:t>, the reckoning date for disqualification of benefits is the date of Order by the General Manager.</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1080" w:firstLine="360"/>
        <w:jc w:val="both"/>
        <w:rPr>
          <w:rFonts w:ascii="Century Gothic" w:hAnsi="Century Gothic"/>
          <w:sz w:val="20"/>
          <w:szCs w:val="20"/>
        </w:rPr>
      </w:pPr>
      <w:r w:rsidRPr="00E514BC">
        <w:rPr>
          <w:rFonts w:ascii="Century Gothic" w:hAnsi="Century Gothic"/>
          <w:sz w:val="20"/>
          <w:szCs w:val="20"/>
        </w:rPr>
        <w:t>4. Officials and employees who failed to submit 201</w:t>
      </w:r>
      <w:r w:rsidR="002D18BF">
        <w:rPr>
          <w:rFonts w:ascii="Century Gothic" w:hAnsi="Century Gothic"/>
          <w:sz w:val="20"/>
          <w:szCs w:val="20"/>
        </w:rPr>
        <w:t>9</w:t>
      </w:r>
      <w:r w:rsidRPr="00E514BC">
        <w:rPr>
          <w:rFonts w:ascii="Century Gothic" w:hAnsi="Century Gothic"/>
          <w:sz w:val="20"/>
          <w:szCs w:val="20"/>
        </w:rPr>
        <w:t xml:space="preserve"> SALN prescribed in the rules under CSC MC No. 3, s. 2015.</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left="1080" w:firstLine="720"/>
        <w:jc w:val="both"/>
        <w:rPr>
          <w:rFonts w:ascii="Century Gothic" w:hAnsi="Century Gothic"/>
          <w:sz w:val="20"/>
          <w:szCs w:val="20"/>
        </w:rPr>
      </w:pPr>
      <w:r w:rsidRPr="00E514BC">
        <w:rPr>
          <w:rFonts w:ascii="Century Gothic" w:hAnsi="Century Gothic"/>
          <w:sz w:val="20"/>
          <w:szCs w:val="20"/>
        </w:rPr>
        <w:t>5. Officials and employees who failed to liquidate within the prescribed period the CAs received in FY 201</w:t>
      </w:r>
      <w:r w:rsidR="002D18BF">
        <w:rPr>
          <w:rFonts w:ascii="Century Gothic" w:hAnsi="Century Gothic"/>
          <w:sz w:val="20"/>
          <w:szCs w:val="20"/>
        </w:rPr>
        <w:t>9</w:t>
      </w:r>
      <w:r w:rsidRPr="00E514BC">
        <w:rPr>
          <w:rFonts w:ascii="Century Gothic" w:hAnsi="Century Gothic"/>
          <w:sz w:val="20"/>
          <w:szCs w:val="20"/>
        </w:rPr>
        <w:t>.</w:t>
      </w:r>
    </w:p>
    <w:p w:rsidR="00922B28" w:rsidRPr="00E514BC" w:rsidRDefault="00922B28" w:rsidP="00F60B6F">
      <w:pPr>
        <w:pStyle w:val="NoSpacing"/>
        <w:jc w:val="both"/>
        <w:rPr>
          <w:rFonts w:ascii="Century Gothic" w:hAnsi="Century Gothic"/>
          <w:sz w:val="20"/>
          <w:szCs w:val="20"/>
        </w:rPr>
      </w:pPr>
    </w:p>
    <w:p w:rsidR="00F60B6F" w:rsidRPr="00E514BC" w:rsidRDefault="00F60B6F" w:rsidP="00922B28">
      <w:pPr>
        <w:pStyle w:val="NoSpacing"/>
        <w:ind w:firstLine="720"/>
        <w:jc w:val="both"/>
        <w:rPr>
          <w:rFonts w:ascii="Century Gothic" w:hAnsi="Century Gothic"/>
          <w:b/>
          <w:sz w:val="20"/>
          <w:szCs w:val="20"/>
        </w:rPr>
      </w:pPr>
      <w:r w:rsidRPr="00E514BC">
        <w:rPr>
          <w:rFonts w:ascii="Century Gothic" w:hAnsi="Century Gothic"/>
          <w:b/>
          <w:sz w:val="20"/>
          <w:szCs w:val="20"/>
        </w:rPr>
        <w:t>D) Rates of FY 201</w:t>
      </w:r>
      <w:r w:rsidR="002D18BF">
        <w:rPr>
          <w:rFonts w:ascii="Century Gothic" w:hAnsi="Century Gothic"/>
          <w:b/>
          <w:sz w:val="20"/>
          <w:szCs w:val="20"/>
        </w:rPr>
        <w:t>9</w:t>
      </w:r>
      <w:bookmarkStart w:id="0" w:name="_GoBack"/>
      <w:bookmarkEnd w:id="0"/>
      <w:r w:rsidRPr="00E514BC">
        <w:rPr>
          <w:rFonts w:ascii="Century Gothic" w:hAnsi="Century Gothic"/>
          <w:b/>
          <w:sz w:val="20"/>
          <w:szCs w:val="20"/>
        </w:rPr>
        <w:t xml:space="preserve"> PBB</w:t>
      </w:r>
    </w:p>
    <w:p w:rsidR="00922B28" w:rsidRPr="00E514BC" w:rsidRDefault="00922B28" w:rsidP="00F60B6F">
      <w:pPr>
        <w:pStyle w:val="NoSpacing"/>
        <w:jc w:val="both"/>
        <w:rPr>
          <w:rFonts w:ascii="Century Gothic" w:hAnsi="Century Gothic"/>
          <w:b/>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The PBB rates of individual employees shall depend on the performance ranking of the bureau or delivery units where they belong based on the individual’s monthly basic salary as of December 31, 201</w:t>
      </w:r>
      <w:r w:rsidR="002D18BF">
        <w:rPr>
          <w:rFonts w:ascii="Century Gothic" w:hAnsi="Century Gothic"/>
          <w:sz w:val="20"/>
          <w:szCs w:val="20"/>
        </w:rPr>
        <w:t>9</w:t>
      </w:r>
      <w:r w:rsidRPr="00E514BC">
        <w:rPr>
          <w:rFonts w:ascii="Century Gothic" w:hAnsi="Century Gothic"/>
          <w:sz w:val="20"/>
          <w:szCs w:val="20"/>
        </w:rPr>
        <w:t xml:space="preserve"> as follows, but not lower than </w:t>
      </w:r>
      <w:proofErr w:type="spellStart"/>
      <w:r w:rsidRPr="00E514BC">
        <w:rPr>
          <w:rFonts w:ascii="Century Gothic" w:hAnsi="Century Gothic"/>
          <w:sz w:val="20"/>
          <w:szCs w:val="20"/>
        </w:rPr>
        <w:t>Php</w:t>
      </w:r>
      <w:proofErr w:type="spellEnd"/>
      <w:r w:rsidRPr="00E514BC">
        <w:rPr>
          <w:rFonts w:ascii="Century Gothic" w:hAnsi="Century Gothic"/>
          <w:sz w:val="20"/>
          <w:szCs w:val="20"/>
        </w:rPr>
        <w:t xml:space="preserve"> 5,000.00</w:t>
      </w:r>
    </w:p>
    <w:p w:rsidR="00922B28" w:rsidRPr="00E514BC" w:rsidRDefault="00922B28" w:rsidP="00F60B6F">
      <w:pPr>
        <w:pStyle w:val="NoSpacing"/>
        <w:jc w:val="both"/>
        <w:rPr>
          <w:rFonts w:ascii="Century Gothic" w:hAnsi="Century Gothic"/>
          <w:sz w:val="20"/>
          <w:szCs w:val="20"/>
        </w:rPr>
      </w:pPr>
    </w:p>
    <w:p w:rsidR="00922B28" w:rsidRPr="00E514BC" w:rsidRDefault="00922B28" w:rsidP="00F60B6F">
      <w:pPr>
        <w:pStyle w:val="NoSpacing"/>
        <w:jc w:val="both"/>
        <w:rPr>
          <w:rFonts w:ascii="Century Gothic" w:hAnsi="Century Gothic"/>
          <w:sz w:val="20"/>
          <w:szCs w:val="20"/>
        </w:rPr>
      </w:pPr>
    </w:p>
    <w:tbl>
      <w:tblPr>
        <w:tblStyle w:val="TableGrid"/>
        <w:tblW w:w="0" w:type="auto"/>
        <w:tblInd w:w="1165" w:type="dxa"/>
        <w:tblLook w:val="04A0" w:firstRow="1" w:lastRow="0" w:firstColumn="1" w:lastColumn="0" w:noHBand="0" w:noVBand="1"/>
      </w:tblPr>
      <w:tblGrid>
        <w:gridCol w:w="3690"/>
        <w:gridCol w:w="3690"/>
      </w:tblGrid>
      <w:tr w:rsidR="00922B28" w:rsidRPr="00E514BC" w:rsidTr="00922B28">
        <w:tc>
          <w:tcPr>
            <w:tcW w:w="3690" w:type="dxa"/>
          </w:tcPr>
          <w:p w:rsidR="00922B28" w:rsidRPr="00E514BC" w:rsidRDefault="00922B28" w:rsidP="00922B28">
            <w:pPr>
              <w:pStyle w:val="NoSpacing"/>
              <w:jc w:val="both"/>
              <w:rPr>
                <w:rFonts w:ascii="Century Gothic" w:hAnsi="Century Gothic"/>
                <w:sz w:val="20"/>
                <w:szCs w:val="20"/>
              </w:rPr>
            </w:pPr>
            <w:r w:rsidRPr="00E514BC">
              <w:rPr>
                <w:rFonts w:ascii="Century Gothic" w:hAnsi="Century Gothic"/>
                <w:sz w:val="20"/>
                <w:szCs w:val="20"/>
              </w:rPr>
              <w:t xml:space="preserve">Performance of Eligible Agency </w:t>
            </w:r>
          </w:p>
        </w:tc>
        <w:tc>
          <w:tcPr>
            <w:tcW w:w="3690" w:type="dxa"/>
          </w:tcPr>
          <w:p w:rsidR="00922B28" w:rsidRPr="00E514BC" w:rsidRDefault="00922B28" w:rsidP="00922B28">
            <w:pPr>
              <w:pStyle w:val="NoSpacing"/>
              <w:jc w:val="both"/>
              <w:rPr>
                <w:rFonts w:ascii="Century Gothic" w:hAnsi="Century Gothic"/>
                <w:sz w:val="20"/>
                <w:szCs w:val="20"/>
              </w:rPr>
            </w:pPr>
            <w:r w:rsidRPr="00E514BC">
              <w:rPr>
                <w:rFonts w:ascii="Century Gothic" w:hAnsi="Century Gothic"/>
                <w:sz w:val="20"/>
                <w:szCs w:val="20"/>
              </w:rPr>
              <w:t>PBB as % of Monthly Basic Salary</w:t>
            </w:r>
          </w:p>
          <w:p w:rsidR="00922B28" w:rsidRPr="00E514BC" w:rsidRDefault="00922B28" w:rsidP="00F60B6F">
            <w:pPr>
              <w:pStyle w:val="NoSpacing"/>
              <w:jc w:val="both"/>
              <w:rPr>
                <w:rFonts w:ascii="Century Gothic" w:hAnsi="Century Gothic"/>
                <w:sz w:val="20"/>
                <w:szCs w:val="20"/>
              </w:rPr>
            </w:pP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Best Bureau/Office/Delivery 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65%</w:t>
            </w: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Better Bureau/Office/Delivery 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57.5%</w:t>
            </w:r>
          </w:p>
        </w:tc>
      </w:tr>
      <w:tr w:rsidR="00922B28" w:rsidRPr="00E514BC" w:rsidTr="00922B28">
        <w:tc>
          <w:tcPr>
            <w:tcW w:w="3690" w:type="dxa"/>
          </w:tcPr>
          <w:p w:rsidR="00922B28" w:rsidRPr="00E514BC" w:rsidRDefault="00922B28" w:rsidP="00F60B6F">
            <w:pPr>
              <w:pStyle w:val="NoSpacing"/>
              <w:jc w:val="both"/>
              <w:rPr>
                <w:rFonts w:ascii="Century Gothic" w:hAnsi="Century Gothic"/>
                <w:sz w:val="20"/>
                <w:szCs w:val="20"/>
              </w:rPr>
            </w:pPr>
            <w:r w:rsidRPr="00E514BC">
              <w:rPr>
                <w:rFonts w:ascii="Century Gothic" w:hAnsi="Century Gothic"/>
                <w:sz w:val="20"/>
                <w:szCs w:val="20"/>
              </w:rPr>
              <w:t>Good Bureau/Office/Delivery</w:t>
            </w:r>
            <w:r w:rsidR="00E514BC" w:rsidRPr="00E514BC">
              <w:rPr>
                <w:rFonts w:ascii="Century Gothic" w:hAnsi="Century Gothic"/>
                <w:sz w:val="20"/>
                <w:szCs w:val="20"/>
              </w:rPr>
              <w:t xml:space="preserve"> Unit</w:t>
            </w:r>
          </w:p>
        </w:tc>
        <w:tc>
          <w:tcPr>
            <w:tcW w:w="3690" w:type="dxa"/>
          </w:tcPr>
          <w:p w:rsidR="00922B28" w:rsidRPr="00E514BC" w:rsidRDefault="00922B28" w:rsidP="00E514BC">
            <w:pPr>
              <w:pStyle w:val="NoSpacing"/>
              <w:jc w:val="center"/>
              <w:rPr>
                <w:rFonts w:ascii="Century Gothic" w:hAnsi="Century Gothic"/>
                <w:sz w:val="20"/>
                <w:szCs w:val="20"/>
              </w:rPr>
            </w:pPr>
            <w:r w:rsidRPr="00E514BC">
              <w:rPr>
                <w:rFonts w:ascii="Century Gothic" w:hAnsi="Century Gothic"/>
                <w:sz w:val="20"/>
                <w:szCs w:val="20"/>
              </w:rPr>
              <w:t>50%</w:t>
            </w:r>
          </w:p>
        </w:tc>
      </w:tr>
    </w:tbl>
    <w:p w:rsidR="00922B28" w:rsidRPr="00E514BC" w:rsidRDefault="00922B28" w:rsidP="00F60B6F">
      <w:pPr>
        <w:pStyle w:val="NoSpacing"/>
        <w:jc w:val="both"/>
        <w:rPr>
          <w:rFonts w:ascii="Century Gothic" w:hAnsi="Century Gothic"/>
          <w:sz w:val="20"/>
          <w:szCs w:val="20"/>
        </w:rPr>
      </w:pPr>
    </w:p>
    <w:p w:rsidR="00922B28" w:rsidRPr="00E514BC" w:rsidRDefault="00922B28" w:rsidP="00F60B6F">
      <w:pPr>
        <w:pStyle w:val="NoSpacing"/>
        <w:jc w:val="both"/>
        <w:rPr>
          <w:rFonts w:ascii="Century Gothic" w:hAnsi="Century Gothic"/>
          <w:sz w:val="20"/>
          <w:szCs w:val="20"/>
        </w:rPr>
      </w:pPr>
    </w:p>
    <w:p w:rsidR="00F60B6F" w:rsidRPr="00E514BC" w:rsidRDefault="00F60B6F" w:rsidP="00E514BC">
      <w:pPr>
        <w:pStyle w:val="NoSpacing"/>
        <w:ind w:left="720" w:firstLine="720"/>
        <w:jc w:val="both"/>
        <w:rPr>
          <w:rFonts w:ascii="Century Gothic" w:hAnsi="Century Gothic"/>
          <w:sz w:val="20"/>
          <w:szCs w:val="20"/>
        </w:rPr>
      </w:pPr>
      <w:r w:rsidRPr="00E514BC">
        <w:rPr>
          <w:rFonts w:ascii="Century Gothic" w:hAnsi="Century Gothic"/>
          <w:sz w:val="20"/>
          <w:szCs w:val="20"/>
        </w:rPr>
        <w:t>Furthermore, as one of the key players of the SPMS, the Performance Management Team (PMT) shall act as appeals body and the final arbiter for performance management issues of the agency.</w:t>
      </w:r>
    </w:p>
    <w:p w:rsidR="00922B28" w:rsidRPr="00E514BC" w:rsidRDefault="00EA0A02" w:rsidP="00922B28">
      <w:pPr>
        <w:pStyle w:val="NoSpacing"/>
        <w:ind w:firstLine="720"/>
        <w:jc w:val="both"/>
        <w:rPr>
          <w:rFonts w:ascii="Century Gothic" w:hAnsi="Century Gothic"/>
          <w:sz w:val="20"/>
          <w:szCs w:val="20"/>
        </w:rPr>
      </w:pPr>
      <w:r>
        <w:rPr>
          <w:noProof/>
        </w:rPr>
        <w:drawing>
          <wp:anchor distT="0" distB="0" distL="114300" distR="114300" simplePos="0" relativeHeight="251663360" behindDoc="0" locked="0" layoutInCell="1" allowOverlap="1" wp14:anchorId="5A9B3ABA" wp14:editId="1028D3F4">
            <wp:simplePos x="0" y="0"/>
            <wp:positionH relativeFrom="column">
              <wp:posOffset>3943350</wp:posOffset>
            </wp:positionH>
            <wp:positionV relativeFrom="paragraph">
              <wp:posOffset>-3810</wp:posOffset>
            </wp:positionV>
            <wp:extent cx="1162050" cy="537845"/>
            <wp:effectExtent l="0" t="0" r="0" b="0"/>
            <wp:wrapNone/>
            <wp:docPr id="4" name="Picture 1" descr="D:\My Pictures\signatures\signature-infante.png"/>
            <wp:cNvGraphicFramePr/>
            <a:graphic xmlns:a="http://schemas.openxmlformats.org/drawingml/2006/main">
              <a:graphicData uri="http://schemas.openxmlformats.org/drawingml/2006/picture">
                <pic:pic xmlns:pic="http://schemas.openxmlformats.org/drawingml/2006/picture">
                  <pic:nvPicPr>
                    <pic:cNvPr id="2" name="Picture 1" descr="D:\My Pictures\signatures\signature-infante.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53784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5A07139B" wp14:editId="5C881539">
            <wp:simplePos x="0" y="0"/>
            <wp:positionH relativeFrom="column">
              <wp:posOffset>866775</wp:posOffset>
            </wp:positionH>
            <wp:positionV relativeFrom="paragraph">
              <wp:posOffset>-1905</wp:posOffset>
            </wp:positionV>
            <wp:extent cx="1076325" cy="535940"/>
            <wp:effectExtent l="0" t="0" r="9525" b="0"/>
            <wp:wrapNone/>
            <wp:docPr id="1" name="Picture 2" descr="D:\My Pictures\signatures\signature-quintas.png"/>
            <wp:cNvGraphicFramePr/>
            <a:graphic xmlns:a="http://schemas.openxmlformats.org/drawingml/2006/main">
              <a:graphicData uri="http://schemas.openxmlformats.org/drawingml/2006/picture">
                <pic:pic xmlns:pic="http://schemas.openxmlformats.org/drawingml/2006/picture">
                  <pic:nvPicPr>
                    <pic:cNvPr id="3" name="Picture 2" descr="D:\My Pictures\signatures\signature-quinta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535940"/>
                    </a:xfrm>
                    <a:prstGeom prst="rect">
                      <a:avLst/>
                    </a:prstGeom>
                    <a:noFill/>
                    <a:ln w="9525">
                      <a:noFill/>
                      <a:miter lim="800000"/>
                      <a:headEnd/>
                      <a:tailEnd/>
                    </a:ln>
                  </pic:spPr>
                </pic:pic>
              </a:graphicData>
            </a:graphic>
          </wp:anchor>
        </w:drawing>
      </w:r>
    </w:p>
    <w:p w:rsidR="00922B28" w:rsidRPr="00E514BC" w:rsidRDefault="00922B28" w:rsidP="00922B28">
      <w:pPr>
        <w:pStyle w:val="NoSpacing"/>
        <w:ind w:firstLine="720"/>
        <w:jc w:val="both"/>
        <w:rPr>
          <w:rFonts w:ascii="Century Gothic" w:hAnsi="Century Gothic"/>
          <w:sz w:val="20"/>
          <w:szCs w:val="20"/>
        </w:rPr>
      </w:pPr>
    </w:p>
    <w:p w:rsidR="00F60B6F" w:rsidRPr="00E514BC" w:rsidRDefault="00E514BC" w:rsidP="00F60B6F">
      <w:pPr>
        <w:pStyle w:val="NoSpacing"/>
        <w:jc w:val="both"/>
        <w:rPr>
          <w:rFonts w:ascii="Century Gothic" w:hAnsi="Century Gothic"/>
          <w:sz w:val="20"/>
          <w:szCs w:val="20"/>
        </w:rPr>
      </w:pPr>
      <w:r>
        <w:rPr>
          <w:rFonts w:ascii="Century Gothic" w:hAnsi="Century Gothic"/>
          <w:b/>
          <w:sz w:val="20"/>
          <w:szCs w:val="20"/>
        </w:rPr>
        <w:t xml:space="preserve">                     </w:t>
      </w:r>
      <w:r w:rsidR="00922B28" w:rsidRPr="00E514BC">
        <w:rPr>
          <w:rFonts w:ascii="Century Gothic" w:hAnsi="Century Gothic"/>
          <w:b/>
          <w:sz w:val="20"/>
          <w:szCs w:val="20"/>
        </w:rPr>
        <w:t>MA. JAEVA C. QUINTAS</w:t>
      </w:r>
      <w:r w:rsidR="00F60B6F" w:rsidRPr="00E514BC">
        <w:rPr>
          <w:rFonts w:ascii="Century Gothic" w:hAnsi="Century Gothic"/>
          <w:sz w:val="20"/>
          <w:szCs w:val="20"/>
        </w:rPr>
        <w:t xml:space="preserve"> </w:t>
      </w:r>
      <w:r w:rsidR="00922B28" w:rsidRPr="00E514BC">
        <w:rPr>
          <w:rFonts w:ascii="Century Gothic" w:hAnsi="Century Gothic"/>
          <w:sz w:val="20"/>
          <w:szCs w:val="20"/>
        </w:rPr>
        <w:tab/>
      </w:r>
      <w:r w:rsidR="00922B28" w:rsidRPr="00E514BC">
        <w:rPr>
          <w:rFonts w:ascii="Century Gothic" w:hAnsi="Century Gothic"/>
          <w:sz w:val="20"/>
          <w:szCs w:val="20"/>
        </w:rPr>
        <w:tab/>
      </w:r>
      <w:r w:rsidR="00922B28" w:rsidRPr="00E514BC">
        <w:rPr>
          <w:rFonts w:ascii="Century Gothic" w:hAnsi="Century Gothic"/>
          <w:sz w:val="20"/>
          <w:szCs w:val="20"/>
        </w:rPr>
        <w:tab/>
        <w:t xml:space="preserve">         </w:t>
      </w:r>
      <w:r w:rsidR="00922B28" w:rsidRPr="00E514BC">
        <w:rPr>
          <w:rFonts w:ascii="Century Gothic" w:hAnsi="Century Gothic"/>
          <w:b/>
          <w:sz w:val="20"/>
          <w:szCs w:val="20"/>
        </w:rPr>
        <w:t>ENGR. LIONEL ALFREDO A. INFANTE</w:t>
      </w:r>
    </w:p>
    <w:p w:rsidR="00F60B6F" w:rsidRPr="00E514BC" w:rsidRDefault="00F60B6F" w:rsidP="00F60B6F">
      <w:pPr>
        <w:pStyle w:val="NoSpacing"/>
        <w:jc w:val="both"/>
        <w:rPr>
          <w:rFonts w:ascii="Century Gothic" w:hAnsi="Century Gothic"/>
          <w:sz w:val="20"/>
          <w:szCs w:val="20"/>
        </w:rPr>
      </w:pPr>
      <w:r w:rsidRPr="00E514BC">
        <w:rPr>
          <w:rFonts w:ascii="Century Gothic" w:hAnsi="Century Gothic"/>
          <w:sz w:val="20"/>
          <w:szCs w:val="20"/>
        </w:rPr>
        <w:t xml:space="preserve">Human Resource Management Officer-Designate </w:t>
      </w:r>
      <w:r w:rsidR="00922B28" w:rsidRPr="00E514BC">
        <w:rPr>
          <w:rFonts w:ascii="Century Gothic" w:hAnsi="Century Gothic"/>
          <w:sz w:val="20"/>
          <w:szCs w:val="20"/>
        </w:rPr>
        <w:t xml:space="preserve">                 </w:t>
      </w:r>
      <w:r w:rsidRPr="00E514BC">
        <w:rPr>
          <w:rFonts w:ascii="Century Gothic" w:hAnsi="Century Gothic"/>
          <w:sz w:val="20"/>
          <w:szCs w:val="20"/>
        </w:rPr>
        <w:t>General Man</w:t>
      </w:r>
      <w:r w:rsidR="00E514BC">
        <w:rPr>
          <w:rFonts w:ascii="Century Gothic" w:hAnsi="Century Gothic"/>
          <w:sz w:val="20"/>
          <w:szCs w:val="20"/>
        </w:rPr>
        <w:t>ger</w:t>
      </w:r>
    </w:p>
    <w:p w:rsidR="00362E64" w:rsidRPr="00E514BC" w:rsidRDefault="00362E64" w:rsidP="00F60B6F">
      <w:pPr>
        <w:pStyle w:val="NoSpacing"/>
        <w:jc w:val="both"/>
        <w:rPr>
          <w:rFonts w:ascii="Century Gothic" w:hAnsi="Century Gothic"/>
          <w:sz w:val="20"/>
          <w:szCs w:val="20"/>
        </w:rPr>
      </w:pPr>
    </w:p>
    <w:sectPr w:rsidR="00362E64" w:rsidRPr="00E5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738"/>
    <w:multiLevelType w:val="hybridMultilevel"/>
    <w:tmpl w:val="DE7E1A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63A3287"/>
    <w:multiLevelType w:val="hybridMultilevel"/>
    <w:tmpl w:val="731ECD3A"/>
    <w:lvl w:ilvl="0" w:tplc="F29CE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6F"/>
    <w:rsid w:val="002D18BF"/>
    <w:rsid w:val="00362E64"/>
    <w:rsid w:val="00922B28"/>
    <w:rsid w:val="00E514BC"/>
    <w:rsid w:val="00EA0A02"/>
    <w:rsid w:val="00F6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62652-166C-436F-858D-16891A86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B6F"/>
    <w:pPr>
      <w:spacing w:before="100" w:beforeAutospacing="1" w:after="100" w:afterAutospacing="1"/>
    </w:pPr>
  </w:style>
  <w:style w:type="paragraph" w:styleId="NoSpacing">
    <w:name w:val="No Spacing"/>
    <w:uiPriority w:val="1"/>
    <w:qFormat/>
    <w:rsid w:val="00F60B6F"/>
    <w:pPr>
      <w:spacing w:after="0" w:line="240" w:lineRule="auto"/>
    </w:pPr>
  </w:style>
  <w:style w:type="table" w:styleId="TableGrid">
    <w:name w:val="Table Grid"/>
    <w:basedOn w:val="TableNormal"/>
    <w:uiPriority w:val="39"/>
    <w:rsid w:val="00F6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Jevah</dc:creator>
  <cp:keywords/>
  <dc:description/>
  <cp:lastModifiedBy>user</cp:lastModifiedBy>
  <cp:revision>3</cp:revision>
  <dcterms:created xsi:type="dcterms:W3CDTF">2018-11-16T08:18:00Z</dcterms:created>
  <dcterms:modified xsi:type="dcterms:W3CDTF">2020-09-16T07:01:00Z</dcterms:modified>
</cp:coreProperties>
</file>